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500" w:lineRule="exact"/>
        <w:jc w:val="center"/>
        <w:rPr>
          <w:rFonts w:hint="eastAsia" w:ascii="BIZ UDゴシック" w:hAnsi="BIZ UDゴシック" w:eastAsia="BIZ UDゴシック"/>
          <w:sz w:val="24"/>
        </w:rPr>
      </w:pPr>
      <w:r>
        <w:rPr>
          <w:rFonts w:hint="default" w:ascii="BIZ UDPゴシック" w:hAnsi="BIZ UDPゴシック" w:eastAsia="BIZ UDPゴシック"/>
          <w:sz w:val="28"/>
        </w:rPr>
        <mc:AlternateContent>
          <mc:Choice Requires="wps">
            <w:drawing>
              <wp:anchor distT="0" distB="0" distL="114300" distR="114300" simplePos="0" relativeHeight="2" behindDoc="0" locked="0" layoutInCell="1" hidden="0" allowOverlap="1">
                <wp:simplePos x="0" y="0"/>
                <wp:positionH relativeFrom="column">
                  <wp:posOffset>3115310</wp:posOffset>
                </wp:positionH>
                <wp:positionV relativeFrom="paragraph">
                  <wp:posOffset>-508635</wp:posOffset>
                </wp:positionV>
                <wp:extent cx="3164840" cy="5797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3164840" cy="579755"/>
                        </a:xfrm>
                        <a:prstGeom prst="rect">
                          <a:avLst/>
                        </a:prstGeom>
                        <a:solidFill>
                          <a:schemeClr val="lt1"/>
                        </a:solidFill>
                        <a:ln w="6350">
                          <a:noFill/>
                        </a:ln>
                      </wps:spPr>
                      <wps:txbx>
                        <w:txbxContent>
                          <w:p>
                            <w:pPr>
                              <w:pStyle w:val="0"/>
                              <w:rPr>
                                <w:rFonts w:hint="default"/>
                                <w:sz w:val="16"/>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49.2pt;height:45.65pt;mso-position-horizontal-relative:text;position:absolute;margin-left:245.3pt;margin-top:-40.04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sz w:val="16"/>
                        </w:rPr>
                      </w:pPr>
                    </w:p>
                  </w:txbxContent>
                </v:textbox>
                <v:imagedata o:title=""/>
                <w10:wrap type="none" anchorx="text" anchory="text"/>
              </v:shape>
            </w:pict>
          </mc:Fallback>
        </mc:AlternateContent>
      </w:r>
      <w:r>
        <w:rPr>
          <w:rFonts w:hint="eastAsia" w:ascii="BIZ UDゴシック" w:hAnsi="BIZ UDゴシック" w:eastAsia="BIZ UDゴシック"/>
          <w:sz w:val="24"/>
        </w:rPr>
        <w:t>雲南市レクリエーション系施設個別施設計画（案）の概要について</w:t>
      </w:r>
    </w:p>
    <w:p>
      <w:pPr>
        <w:pStyle w:val="0"/>
        <w:spacing w:line="500" w:lineRule="exact"/>
        <w:rPr>
          <w:rFonts w:hint="eastAsia" w:ascii="BIZ UDゴシック" w:hAnsi="BIZ UDゴシック" w:eastAsia="BIZ UDゴシック"/>
          <w:sz w:val="24"/>
        </w:rPr>
      </w:pPr>
    </w:p>
    <w:p>
      <w:pPr>
        <w:pStyle w:val="0"/>
        <w:spacing w:line="500" w:lineRule="exact"/>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１．策定の目的</w:t>
      </w:r>
    </w:p>
    <w:p>
      <w:pPr>
        <w:pStyle w:val="0"/>
        <w:spacing w:line="500" w:lineRule="exact"/>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　今年度策定中の雲南市公共施設等総合管理計画実施方針（第３次）を踏まえ、雲南市内のレクリエーション系施設を総合的な観点で捉え、構造躯体が健全で長寿命化が可能な施設については適正な改修・維持保全に努めるとともに、長期的な視点に立ち、統廃合等による施設の総量抑制によるコストの縮減と平準化を図ることを目的とする。</w:t>
      </w:r>
    </w:p>
    <w:p>
      <w:pPr>
        <w:pStyle w:val="0"/>
        <w:spacing w:line="500" w:lineRule="exact"/>
        <w:rPr>
          <w:rFonts w:hint="eastAsia" w:ascii="BIZ UDゴシック" w:hAnsi="BIZ UDゴシック" w:eastAsia="BIZ UDゴシック"/>
          <w:sz w:val="24"/>
        </w:rPr>
      </w:pPr>
      <w:r>
        <w:rPr>
          <w:rFonts w:hint="eastAsia" w:ascii="BIZ UDゴシック" w:hAnsi="BIZ UDゴシック" w:eastAsia="BIZ UDゴシック"/>
          <w:sz w:val="24"/>
        </w:rPr>
        <w:t>２．計画の期間　　令和８年度～令和１７年度（１０年間）</w:t>
      </w:r>
    </w:p>
    <w:p>
      <w:pPr>
        <w:pStyle w:val="0"/>
        <w:spacing w:line="500" w:lineRule="exact"/>
        <w:rPr>
          <w:rFonts w:hint="eastAsia" w:ascii="BIZ UDゴシック" w:hAnsi="BIZ UDゴシック" w:eastAsia="BIZ UDゴシック"/>
          <w:sz w:val="24"/>
        </w:rPr>
      </w:pPr>
      <w:r>
        <w:rPr>
          <w:rFonts w:hint="eastAsia" w:ascii="BIZ UDゴシック" w:hAnsi="BIZ UDゴシック" w:eastAsia="BIZ UDゴシック"/>
          <w:sz w:val="24"/>
        </w:rPr>
        <w:t>３．対象施設</w:t>
      </w:r>
    </w:p>
    <w:p>
      <w:pPr>
        <w:pStyle w:val="0"/>
        <w:spacing w:line="500" w:lineRule="exact"/>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　　今年度策定中の雲南市公共施設等総合管理計画実施方針（第３次）に記載された雲南市が保有するレクリエーション系施設（全１９施設）</w:t>
      </w:r>
    </w:p>
    <w:p>
      <w:pPr>
        <w:pStyle w:val="0"/>
        <w:spacing w:line="500" w:lineRule="exact"/>
        <w:ind w:left="1929" w:hanging="1929" w:hangingChars="877"/>
        <w:rPr>
          <w:rFonts w:hint="eastAsia" w:ascii="BIZ UDゴシック" w:hAnsi="BIZ UDゴシック" w:eastAsia="BIZ UDゴシック"/>
          <w:sz w:val="24"/>
        </w:rPr>
      </w:pPr>
      <w:r>
        <w:rPr>
          <w:rFonts w:hint="eastAsia" w:ascii="BIZ UDゴシック" w:hAnsi="BIZ UDゴシック" w:eastAsia="BIZ UDゴシック"/>
          <w:sz w:val="24"/>
        </w:rPr>
        <w:t>４．対策の基本的な考え方</w:t>
      </w:r>
    </w:p>
    <w:p>
      <w:pPr>
        <w:pStyle w:val="0"/>
        <w:spacing w:line="500" w:lineRule="exact"/>
        <w:ind w:left="1909" w:leftChars="200" w:hanging="1489" w:hangingChars="677"/>
        <w:rPr>
          <w:rFonts w:hint="eastAsia" w:ascii="BIZ UDゴシック" w:hAnsi="BIZ UDゴシック" w:eastAsia="BIZ UDゴシック"/>
          <w:sz w:val="24"/>
        </w:rPr>
      </w:pPr>
      <w:r>
        <w:rPr>
          <w:rFonts w:hint="eastAsia" w:ascii="BIZ UDゴシック" w:hAnsi="BIZ UDゴシック" w:eastAsia="BIZ UDゴシック"/>
          <w:sz w:val="24"/>
        </w:rPr>
        <w:t>本計画では、以下の考え方に基づき、個別施設の具体的な実施方針を定める。</w:t>
      </w:r>
    </w:p>
    <w:p>
      <w:pPr>
        <w:pStyle w:val="0"/>
        <w:spacing w:line="50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①保有量、配置の適正化</w:t>
      </w:r>
    </w:p>
    <w:p>
      <w:pPr>
        <w:pStyle w:val="0"/>
        <w:spacing w:line="500" w:lineRule="exact"/>
        <w:ind w:left="420" w:leftChars="2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使用状況や将来需要等を勘案しながら、管理運営方法や保有量の適正化に向けた検討を行うほか、譲渡可能な施設については譲渡も検討する。</w:t>
      </w:r>
    </w:p>
    <w:p>
      <w:pPr>
        <w:pStyle w:val="0"/>
        <w:spacing w:line="500" w:lineRule="exact"/>
        <w:ind w:left="0" w:leftChars="0"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②維持、管理の適正化</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「事後保全型」から「予防保全型」への転換による長寿命化を図り、生涯コストの縮減、平準化及びサービスの向上に取り組む。</w:t>
      </w:r>
    </w:p>
    <w:p>
      <w:pPr>
        <w:pStyle w:val="0"/>
        <w:spacing w:line="500" w:lineRule="exact"/>
        <w:rPr>
          <w:rFonts w:hint="eastAsia" w:ascii="BIZ UDゴシック" w:hAnsi="BIZ UDゴシック" w:eastAsia="BIZ UDゴシック"/>
          <w:sz w:val="24"/>
        </w:rPr>
      </w:pPr>
      <w:r>
        <w:rPr>
          <w:rFonts w:hint="eastAsia" w:ascii="BIZ UDゴシック" w:hAnsi="BIZ UDゴシック" w:eastAsia="BIZ UDゴシック"/>
          <w:sz w:val="24"/>
        </w:rPr>
        <w:t>５．計画の実施方法</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・本計画の実効性を高めるため、関係部局、関係諸団体、施設の指定管理者等と連携し計画を推進する。</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・計画に基づく対象施設にかかる大規模改造等の実施状況のほか、利用状況や維持管理コスト等を評価することにより、課題を整理し、必要に応じて計画を見直す。</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温浴施設にかかる施設の保有量、配置の適正化については、施設の特性、利用状況、老朽度等を定量化するなどの方法により、既存施設の在り方を検討することとし、外部意見の取入れや検討組織の設置も併せて検討する。</w:t>
      </w:r>
    </w:p>
    <w:p>
      <w:pPr>
        <w:pStyle w:val="0"/>
        <w:spacing w:line="500" w:lineRule="exact"/>
        <w:ind w:left="450" w:leftChars="100" w:hanging="240" w:hangingChars="100"/>
        <w:rPr>
          <w:rFonts w:hint="eastAsia" w:ascii="BIZ UDゴシック" w:hAnsi="BIZ UDゴシック" w:eastAsia="BIZ UDゴシック"/>
          <w:sz w:val="24"/>
        </w:rPr>
      </w:pPr>
      <w:bookmarkStart w:id="0" w:name="_GoBack"/>
      <w:bookmarkEnd w:id="0"/>
    </w:p>
    <w:p>
      <w:pPr>
        <w:pStyle w:val="0"/>
        <w:spacing w:line="500" w:lineRule="exact"/>
        <w:rPr>
          <w:rFonts w:hint="eastAsia" w:ascii="BIZ UDゴシック" w:hAnsi="BIZ UDゴシック" w:eastAsia="BIZ UDゴシック"/>
          <w:sz w:val="24"/>
        </w:rPr>
      </w:pPr>
      <w:r>
        <w:rPr>
          <w:rFonts w:hint="eastAsia" w:ascii="BIZ UDゴシック" w:hAnsi="BIZ UDゴシック" w:eastAsia="BIZ UDゴシック"/>
          <w:sz w:val="24"/>
        </w:rPr>
        <w:t>６．見直し方針の概要</w:t>
      </w:r>
    </w:p>
    <w:p>
      <w:pPr>
        <w:pStyle w:val="0"/>
        <w:spacing w:line="50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①</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共通方針（雲南市公共施設等総合管理計画実施方針（第３次）による）</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・現況の定量化（維持管理経費、老朽度、利用状況等の数値化）や優先順位を示しながら存続、統廃合、転用、譲渡等を検討する。</w:t>
      </w:r>
    </w:p>
    <w:p>
      <w:pPr>
        <w:pStyle w:val="0"/>
        <w:spacing w:line="50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・民間の同類サービスと競合するような施設は、民間活力の有効活用を検討する。</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・建替、改修を検討する場合は、代替対応（転用、集約化、複合化）も十分検討する。</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・老朽化した施設で突発的かつ大規模な修繕対応が発生した場合、施設利用の休止が可能であれば、一旦使用中止として対策を検討する。</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・廃止及び譲渡に向けた取組を開始した施設は、最低限の安全確保を行い施設維持する。</w:t>
      </w:r>
    </w:p>
    <w:p>
      <w:pPr>
        <w:pStyle w:val="0"/>
        <w:spacing w:line="500" w:lineRule="exact"/>
        <w:ind w:left="450" w:leftChars="10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・施設の特性や規模、機能を検討し、利用者負担や維持管理方法の適正化に取り組む。</w:t>
      </w:r>
    </w:p>
    <w:p>
      <w:pPr>
        <w:pStyle w:val="0"/>
        <w:spacing w:line="50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・指定避難所等の見直しにあたっては、代替施設や避難対応の方法等を考慮する。</w:t>
      </w:r>
    </w:p>
    <w:p>
      <w:pPr>
        <w:pStyle w:val="0"/>
        <w:spacing w:line="500" w:lineRule="exact"/>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・見直しによる影響等を勘案し、外部意見の取り入れや検討組織の構築も検討する。</w:t>
      </w:r>
    </w:p>
    <w:p>
      <w:pPr>
        <w:pStyle w:val="0"/>
        <w:spacing w:line="500" w:lineRule="exact"/>
        <w:rPr>
          <w:rFonts w:hint="eastAsia" w:ascii="BIZ UDゴシック" w:hAnsi="BIZ UDゴシック" w:eastAsia="BIZ UDゴシック"/>
          <w:sz w:val="24"/>
        </w:rPr>
      </w:pPr>
      <w:r>
        <w:rPr>
          <w:rFonts w:hint="eastAsia" w:ascii="BIZ UDゴシック" w:hAnsi="BIZ UDゴシック" w:eastAsia="BIZ UDゴシック"/>
          <w:sz w:val="24"/>
        </w:rPr>
        <w:t>②</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施設別方針</w:t>
      </w:r>
    </w:p>
    <w:p>
      <w:pPr>
        <w:pStyle w:val="0"/>
        <w:spacing w:line="500" w:lineRule="exact"/>
        <w:ind w:left="210" w:leftChars="100" w:firstLine="0" w:firstLineChars="0"/>
        <w:rPr>
          <w:rFonts w:hint="eastAsia" w:ascii="BIZ UDゴシック" w:hAnsi="BIZ UDゴシック" w:eastAsia="BIZ UDゴシック"/>
          <w:sz w:val="24"/>
        </w:rPr>
      </w:pPr>
      <w:r>
        <w:rPr>
          <w:rFonts w:hint="eastAsia" w:ascii="BIZ UDゴシック" w:hAnsi="BIZ UDゴシック" w:eastAsia="BIZ UDゴシック"/>
          <w:sz w:val="24"/>
        </w:rPr>
        <w:t>施設分類ごとに方針を設定（雲南市レクリエーション系施設個別施設計画（案）５．施設別実施方針」のとおり）</w:t>
      </w:r>
    </w:p>
    <w:sectPr>
      <w:pgSz w:w="11906" w:h="16838"/>
      <w:pgMar w:top="1134" w:right="1418" w:bottom="1134" w:left="1418"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ＨＰ平成明朝体W7">
    <w:panose1 w:val="00000000000000000000"/>
    <w:charset w:val="80"/>
    <w:family w:val="roman"/>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1</Pages>
  <Words>0</Words>
  <Characters>796</Characters>
  <Application>JUST Note</Application>
  <Lines>40</Lines>
  <Paragraphs>22</Paragraphs>
  <Company>雲南市</Company>
  <CharactersWithSpaces>812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雲南市</dc:creator>
  <cp:lastModifiedBy>吉野　聡</cp:lastModifiedBy>
  <cp:lastPrinted>2026-01-23T00:24:17Z</cp:lastPrinted>
  <dcterms:created xsi:type="dcterms:W3CDTF">2025-11-06T01:07:00Z</dcterms:created>
  <dcterms:modified xsi:type="dcterms:W3CDTF">2026-02-18T02:16:42Z</dcterms:modified>
  <cp:revision>52</cp:revision>
</cp:coreProperties>
</file>