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09D" w:rsidRPr="0033309D" w:rsidRDefault="00A62EA9" w:rsidP="0033309D">
      <w:pPr>
        <w:jc w:val="center"/>
        <w:rPr>
          <w:rFonts w:ascii="HG丸ｺﾞｼｯｸM-PRO" w:eastAsia="HG丸ｺﾞｼｯｸM-PRO" w:hAnsi="HG丸ｺﾞｼｯｸM-PRO"/>
          <w:sz w:val="44"/>
          <w:szCs w:val="44"/>
        </w:rPr>
      </w:pPr>
      <w:r>
        <w:rPr>
          <w:rFonts w:ascii="HG丸ｺﾞｼｯｸM-PRO" w:eastAsia="HG丸ｺﾞｼｯｸM-PRO" w:hAnsi="HG丸ｺﾞｼｯｸM-PRO" w:hint="eastAsia"/>
          <w:noProof/>
          <w:sz w:val="44"/>
          <w:szCs w:val="44"/>
        </w:rPr>
        <mc:AlternateContent>
          <mc:Choice Requires="wps">
            <w:drawing>
              <wp:anchor distT="45720" distB="45720" distL="114300" distR="114300" simplePos="0" relativeHeight="251658240" behindDoc="0" locked="0" layoutInCell="1" allowOverlap="1">
                <wp:simplePos x="0" y="0"/>
                <wp:positionH relativeFrom="column">
                  <wp:posOffset>4408359</wp:posOffset>
                </wp:positionH>
                <wp:positionV relativeFrom="paragraph">
                  <wp:posOffset>-320090</wp:posOffset>
                </wp:positionV>
                <wp:extent cx="934720" cy="340995"/>
                <wp:effectExtent l="0" t="0" r="17780" b="1079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720" cy="340995"/>
                        </a:xfrm>
                        <a:prstGeom prst="rect">
                          <a:avLst/>
                        </a:prstGeom>
                        <a:solidFill>
                          <a:srgbClr val="FFFFFF"/>
                        </a:solidFill>
                        <a:ln w="9525">
                          <a:solidFill>
                            <a:srgbClr val="000000"/>
                          </a:solidFill>
                          <a:miter lim="800000"/>
                          <a:headEnd/>
                          <a:tailEnd/>
                        </a:ln>
                      </wps:spPr>
                      <wps:txbx>
                        <w:txbxContent>
                          <w:p w:rsidR="00A62EA9" w:rsidRPr="0095336E" w:rsidRDefault="00A62EA9" w:rsidP="00A62EA9">
                            <w:pPr>
                              <w:jc w:val="center"/>
                              <w:rPr>
                                <w:rFonts w:ascii="ＭＳ ゴシック" w:eastAsia="ＭＳ ゴシック" w:hAnsi="ＭＳ ゴシック"/>
                                <w:b/>
                              </w:rPr>
                            </w:pPr>
                            <w:r w:rsidRPr="0095336E">
                              <w:rPr>
                                <w:rFonts w:ascii="ＭＳ ゴシック" w:eastAsia="ＭＳ ゴシック" w:hAnsi="ＭＳ ゴシック" w:hint="eastAsia"/>
                                <w:b/>
                              </w:rPr>
                              <w:t>資料</w:t>
                            </w:r>
                            <w:r>
                              <w:rPr>
                                <w:rFonts w:ascii="ＭＳ ゴシック" w:eastAsia="ＭＳ ゴシック" w:hAnsi="ＭＳ ゴシック" w:hint="eastAsia"/>
                                <w:b/>
                              </w:rPr>
                              <w:t>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6" type="#_x0000_t202" style="position:absolute;left:0;text-align:left;margin-left:347.1pt;margin-top:-25.2pt;width:73.6pt;height:26.8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">
                <v:textbox style="mso-fit-shape-to-text:t">
                  <w:txbxContent>
                    <w:p w:rsidR="00A62EA9" w:rsidRPr="0095336E" w:rsidRDefault="00A62EA9" w:rsidP="00A62EA9">
                      <w:pPr>
                        <w:jc w:val="center"/>
                        <w:rPr>
                          <w:rFonts w:ascii="ＭＳ ゴシック" w:eastAsia="ＭＳ ゴシック" w:hAnsi="ＭＳ ゴシック"/>
                          <w:b/>
                        </w:rPr>
                      </w:pPr>
                      <w:r w:rsidRPr="0095336E">
                        <w:rPr>
                          <w:rFonts w:ascii="ＭＳ ゴシック" w:eastAsia="ＭＳ ゴシック" w:hAnsi="ＭＳ ゴシック" w:hint="eastAsia"/>
                          <w:b/>
                        </w:rPr>
                        <w:t>資料</w:t>
                      </w:r>
                      <w:r>
                        <w:rPr>
                          <w:rFonts w:ascii="ＭＳ ゴシック" w:eastAsia="ＭＳ ゴシック" w:hAnsi="ＭＳ ゴシック" w:hint="eastAsia"/>
                          <w:b/>
                        </w:rPr>
                        <w:t>８</w:t>
                      </w:r>
                    </w:p>
                  </w:txbxContent>
                </v:textbox>
              </v:shape>
            </w:pict>
          </mc:Fallback>
        </mc:AlternateContent>
      </w:r>
      <w:r w:rsidR="0033309D" w:rsidRPr="0033309D">
        <w:rPr>
          <w:rFonts w:ascii="HG丸ｺﾞｼｯｸM-PRO" w:eastAsia="HG丸ｺﾞｼｯｸM-PRO" w:hAnsi="HG丸ｺﾞｼｯｸM-PRO" w:hint="eastAsia"/>
          <w:sz w:val="44"/>
          <w:szCs w:val="44"/>
        </w:rPr>
        <w:t>入札談合等関与行為の</w:t>
      </w:r>
      <w:bookmarkStart w:id="0" w:name="_GoBack"/>
      <w:bookmarkEnd w:id="0"/>
      <w:r w:rsidR="0033309D" w:rsidRPr="0033309D">
        <w:rPr>
          <w:rFonts w:ascii="HG丸ｺﾞｼｯｸM-PRO" w:eastAsia="HG丸ｺﾞｼｯｸM-PRO" w:hAnsi="HG丸ｺﾞｼｯｸM-PRO" w:hint="eastAsia"/>
          <w:sz w:val="44"/>
          <w:szCs w:val="44"/>
        </w:rPr>
        <w:t>防止について</w:t>
      </w:r>
    </w:p>
    <w:p w:rsidR="00490B17" w:rsidRDefault="00490B17" w:rsidP="0033309D">
      <w:pPr>
        <w:rPr>
          <w:rFonts w:ascii="HG丸ｺﾞｼｯｸM-PRO" w:eastAsia="HG丸ｺﾞｼｯｸM-PRO" w:hAnsi="HG丸ｺﾞｼｯｸM-PRO"/>
          <w:sz w:val="28"/>
          <w:szCs w:val="28"/>
        </w:rPr>
      </w:pPr>
    </w:p>
    <w:p w:rsidR="0033309D" w:rsidRPr="0033309D" w:rsidRDefault="0033309D" w:rsidP="0033309D">
      <w:pPr>
        <w:rPr>
          <w:rFonts w:ascii="HG丸ｺﾞｼｯｸM-PRO" w:eastAsia="HG丸ｺﾞｼｯｸM-PRO" w:hAnsi="HG丸ｺﾞｼｯｸM-PRO"/>
          <w:sz w:val="28"/>
          <w:szCs w:val="28"/>
        </w:rPr>
      </w:pPr>
      <w:r w:rsidRPr="0033309D">
        <w:rPr>
          <w:rFonts w:ascii="HG丸ｺﾞｼｯｸM-PRO" w:eastAsia="HG丸ｺﾞｼｯｸM-PRO" w:hAnsi="HG丸ｺﾞｼｯｸM-PRO" w:hint="eastAsia"/>
          <w:sz w:val="28"/>
          <w:szCs w:val="28"/>
        </w:rPr>
        <w:t>雲南市では入札談合等関与行為防止法（官製談合防止法）に基づき、下記の取り組みを実施いたします。</w:t>
      </w:r>
    </w:p>
    <w:p w:rsidR="0033309D" w:rsidRDefault="0033309D" w:rsidP="0033309D">
      <w:pPr>
        <w:rPr>
          <w:rFonts w:ascii="HG丸ｺﾞｼｯｸM-PRO" w:eastAsia="HG丸ｺﾞｼｯｸM-PRO" w:hAnsi="HG丸ｺﾞｼｯｸM-PRO"/>
          <w:sz w:val="28"/>
          <w:szCs w:val="28"/>
        </w:rPr>
      </w:pPr>
    </w:p>
    <w:tbl>
      <w:tblPr>
        <w:tblStyle w:val="a3"/>
        <w:tblW w:w="0" w:type="auto"/>
        <w:tblLook w:val="04A0" w:firstRow="1" w:lastRow="0" w:firstColumn="1" w:lastColumn="0" w:noHBand="0" w:noVBand="1"/>
      </w:tblPr>
      <w:tblGrid>
        <w:gridCol w:w="8494"/>
      </w:tblGrid>
      <w:tr w:rsidR="004B2D81" w:rsidTr="00490B17">
        <w:tc>
          <w:tcPr>
            <w:tcW w:w="8494" w:type="dxa"/>
            <w:shd w:val="clear" w:color="auto" w:fill="D9D9D9" w:themeFill="background1" w:themeFillShade="D9"/>
          </w:tcPr>
          <w:p w:rsidR="004B2D81" w:rsidRPr="00490B17" w:rsidRDefault="004B2D81" w:rsidP="0033309D">
            <w:pPr>
              <w:rPr>
                <w:rFonts w:ascii="HG丸ｺﾞｼｯｸM-PRO" w:eastAsia="HG丸ｺﾞｼｯｸM-PRO" w:hAnsi="HG丸ｺﾞｼｯｸM-PRO"/>
                <w:b/>
                <w:sz w:val="28"/>
                <w:szCs w:val="28"/>
              </w:rPr>
            </w:pPr>
            <w:r w:rsidRPr="00490B17">
              <w:rPr>
                <w:rFonts w:ascii="HG丸ｺﾞｼｯｸM-PRO" w:eastAsia="HG丸ｺﾞｼｯｸM-PRO" w:hAnsi="HG丸ｺﾞｼｯｸM-PRO" w:hint="eastAsia"/>
                <w:b/>
                <w:sz w:val="28"/>
                <w:szCs w:val="28"/>
              </w:rPr>
              <w:t>執務室内への入室を制限させていただきます。</w:t>
            </w:r>
          </w:p>
        </w:tc>
      </w:tr>
    </w:tbl>
    <w:p w:rsidR="0033309D" w:rsidRPr="004B2D81" w:rsidRDefault="0033309D" w:rsidP="004B2D81">
      <w:pPr>
        <w:pStyle w:val="a4"/>
        <w:numPr>
          <w:ilvl w:val="0"/>
          <w:numId w:val="2"/>
        </w:numPr>
        <w:ind w:leftChars="0"/>
        <w:rPr>
          <w:rFonts w:ascii="HG丸ｺﾞｼｯｸM-PRO" w:eastAsia="HG丸ｺﾞｼｯｸM-PRO" w:hAnsi="HG丸ｺﾞｼｯｸM-PRO"/>
          <w:sz w:val="28"/>
          <w:szCs w:val="28"/>
        </w:rPr>
      </w:pPr>
      <w:r w:rsidRPr="004B2D81">
        <w:rPr>
          <w:rFonts w:ascii="HG丸ｺﾞｼｯｸM-PRO" w:eastAsia="HG丸ｺﾞｼｯｸM-PRO" w:hAnsi="HG丸ｺﾞｼｯｸM-PRO" w:hint="eastAsia"/>
          <w:sz w:val="28"/>
          <w:szCs w:val="28"/>
        </w:rPr>
        <w:t>事業者様の執務室内へのむやみな入室は、法第2条第5項に規定する行為として誤解を招く恐れ</w:t>
      </w:r>
      <w:r w:rsidR="004B2D81">
        <w:rPr>
          <w:rFonts w:ascii="HG丸ｺﾞｼｯｸM-PRO" w:eastAsia="HG丸ｺﾞｼｯｸM-PRO" w:hAnsi="HG丸ｺﾞｼｯｸM-PRO" w:hint="eastAsia"/>
          <w:sz w:val="28"/>
          <w:szCs w:val="28"/>
        </w:rPr>
        <w:t>がありますので、</w:t>
      </w:r>
      <w:r w:rsidRPr="004B2D81">
        <w:rPr>
          <w:rFonts w:ascii="HG丸ｺﾞｼｯｸM-PRO" w:eastAsia="HG丸ｺﾞｼｯｸM-PRO" w:hAnsi="HG丸ｺﾞｼｯｸM-PRO" w:hint="eastAsia"/>
          <w:sz w:val="28"/>
          <w:szCs w:val="28"/>
        </w:rPr>
        <w:t>自粛願います。</w:t>
      </w:r>
    </w:p>
    <w:p w:rsidR="0033309D" w:rsidRPr="004B2D81" w:rsidRDefault="0033309D" w:rsidP="004B2D81">
      <w:pPr>
        <w:pStyle w:val="a4"/>
        <w:numPr>
          <w:ilvl w:val="0"/>
          <w:numId w:val="2"/>
        </w:numPr>
        <w:ind w:leftChars="0"/>
        <w:rPr>
          <w:rFonts w:ascii="HG丸ｺﾞｼｯｸM-PRO" w:eastAsia="HG丸ｺﾞｼｯｸM-PRO" w:hAnsi="HG丸ｺﾞｼｯｸM-PRO"/>
          <w:sz w:val="28"/>
          <w:szCs w:val="28"/>
        </w:rPr>
      </w:pPr>
      <w:r w:rsidRPr="004B2D81">
        <w:rPr>
          <w:rFonts w:ascii="HG丸ｺﾞｼｯｸM-PRO" w:eastAsia="HG丸ｺﾞｼｯｸM-PRO" w:hAnsi="HG丸ｺﾞｼｯｸM-PRO" w:hint="eastAsia"/>
          <w:sz w:val="28"/>
          <w:szCs w:val="28"/>
        </w:rPr>
        <w:t>職員に御用の際は、担当職員をお呼び出し下さい。</w:t>
      </w:r>
    </w:p>
    <w:p w:rsidR="0033309D" w:rsidRPr="004B2D81" w:rsidRDefault="0033309D" w:rsidP="004B2D81">
      <w:pPr>
        <w:pStyle w:val="a4"/>
        <w:numPr>
          <w:ilvl w:val="0"/>
          <w:numId w:val="2"/>
        </w:numPr>
        <w:ind w:leftChars="0"/>
        <w:rPr>
          <w:rFonts w:ascii="HG丸ｺﾞｼｯｸM-PRO" w:eastAsia="HG丸ｺﾞｼｯｸM-PRO" w:hAnsi="HG丸ｺﾞｼｯｸM-PRO"/>
          <w:sz w:val="28"/>
          <w:szCs w:val="28"/>
        </w:rPr>
      </w:pPr>
      <w:r w:rsidRPr="004B2D81">
        <w:rPr>
          <w:rFonts w:ascii="HG丸ｺﾞｼｯｸM-PRO" w:eastAsia="HG丸ｺﾞｼｯｸM-PRO" w:hAnsi="HG丸ｺﾞｼｯｸM-PRO" w:hint="eastAsia"/>
          <w:sz w:val="28"/>
          <w:szCs w:val="28"/>
        </w:rPr>
        <w:t>営業行為として行われる名刺の配布は課長以上とし、名刺受けにお願いします。</w:t>
      </w:r>
    </w:p>
    <w:p w:rsidR="0033309D" w:rsidRDefault="0033309D" w:rsidP="0033309D">
      <w:pPr>
        <w:rPr>
          <w:rFonts w:ascii="HG丸ｺﾞｼｯｸM-PRO" w:eastAsia="HG丸ｺﾞｼｯｸM-PRO" w:hAnsi="HG丸ｺﾞｼｯｸM-PRO"/>
          <w:sz w:val="28"/>
          <w:szCs w:val="28"/>
        </w:rPr>
      </w:pPr>
    </w:p>
    <w:tbl>
      <w:tblPr>
        <w:tblStyle w:val="a3"/>
        <w:tblW w:w="0" w:type="auto"/>
        <w:tblLook w:val="04A0" w:firstRow="1" w:lastRow="0" w:firstColumn="1" w:lastColumn="0" w:noHBand="0" w:noVBand="1"/>
      </w:tblPr>
      <w:tblGrid>
        <w:gridCol w:w="8494"/>
      </w:tblGrid>
      <w:tr w:rsidR="004B2D81" w:rsidTr="00490B17">
        <w:tc>
          <w:tcPr>
            <w:tcW w:w="8494" w:type="dxa"/>
            <w:shd w:val="clear" w:color="auto" w:fill="D9D9D9" w:themeFill="background1" w:themeFillShade="D9"/>
          </w:tcPr>
          <w:p w:rsidR="004B2D81" w:rsidRPr="00490B17" w:rsidRDefault="004B2D81" w:rsidP="0033309D">
            <w:pPr>
              <w:rPr>
                <w:rFonts w:ascii="HG丸ｺﾞｼｯｸM-PRO" w:eastAsia="HG丸ｺﾞｼｯｸM-PRO" w:hAnsi="HG丸ｺﾞｼｯｸM-PRO"/>
                <w:b/>
                <w:sz w:val="28"/>
                <w:szCs w:val="28"/>
              </w:rPr>
            </w:pPr>
            <w:r w:rsidRPr="00490B17">
              <w:rPr>
                <w:rFonts w:ascii="HG丸ｺﾞｼｯｸM-PRO" w:eastAsia="HG丸ｺﾞｼｯｸM-PRO" w:hAnsi="HG丸ｺﾞｼｯｸM-PRO" w:hint="eastAsia"/>
                <w:b/>
                <w:sz w:val="28"/>
                <w:szCs w:val="28"/>
              </w:rPr>
              <w:t>入札を予定する工事への問い合わせ等は正規の手続きによりお願いします。</w:t>
            </w:r>
          </w:p>
        </w:tc>
      </w:tr>
    </w:tbl>
    <w:p w:rsidR="0033309D" w:rsidRPr="004B2D81" w:rsidRDefault="0033309D" w:rsidP="004B2D81">
      <w:pPr>
        <w:pStyle w:val="a4"/>
        <w:numPr>
          <w:ilvl w:val="0"/>
          <w:numId w:val="2"/>
        </w:numPr>
        <w:ind w:leftChars="0"/>
        <w:rPr>
          <w:rFonts w:ascii="HG丸ｺﾞｼｯｸM-PRO" w:eastAsia="HG丸ｺﾞｼｯｸM-PRO" w:hAnsi="HG丸ｺﾞｼｯｸM-PRO"/>
          <w:sz w:val="28"/>
          <w:szCs w:val="28"/>
        </w:rPr>
      </w:pPr>
      <w:r w:rsidRPr="004B2D81">
        <w:rPr>
          <w:rFonts w:ascii="HG丸ｺﾞｼｯｸM-PRO" w:eastAsia="HG丸ｺﾞｼｯｸM-PRO" w:hAnsi="HG丸ｺﾞｼｯｸM-PRO" w:hint="eastAsia"/>
          <w:sz w:val="28"/>
          <w:szCs w:val="28"/>
        </w:rPr>
        <w:t>入札案件への</w:t>
      </w:r>
      <w:r w:rsidR="004B2D81">
        <w:rPr>
          <w:rFonts w:ascii="HG丸ｺﾞｼｯｸM-PRO" w:eastAsia="HG丸ｺﾞｼｯｸM-PRO" w:hAnsi="HG丸ｺﾞｼｯｸM-PRO" w:hint="eastAsia"/>
          <w:sz w:val="28"/>
          <w:szCs w:val="28"/>
        </w:rPr>
        <w:t>質疑等は</w:t>
      </w:r>
      <w:r w:rsidRPr="004B2D81">
        <w:rPr>
          <w:rFonts w:ascii="HG丸ｺﾞｼｯｸM-PRO" w:eastAsia="HG丸ｺﾞｼｯｸM-PRO" w:hAnsi="HG丸ｺﾞｼｯｸM-PRO" w:hint="eastAsia"/>
          <w:sz w:val="28"/>
          <w:szCs w:val="28"/>
        </w:rPr>
        <w:t>正規手続きによるもののみ回答いたします。</w:t>
      </w:r>
    </w:p>
    <w:p w:rsidR="0033309D" w:rsidRPr="004B2D81" w:rsidRDefault="0033309D" w:rsidP="004B2D81">
      <w:pPr>
        <w:pStyle w:val="a4"/>
        <w:numPr>
          <w:ilvl w:val="0"/>
          <w:numId w:val="2"/>
        </w:numPr>
        <w:ind w:leftChars="0"/>
        <w:rPr>
          <w:rFonts w:ascii="HG丸ｺﾞｼｯｸM-PRO" w:eastAsia="HG丸ｺﾞｼｯｸM-PRO" w:hAnsi="HG丸ｺﾞｼｯｸM-PRO"/>
          <w:sz w:val="28"/>
          <w:szCs w:val="28"/>
        </w:rPr>
      </w:pPr>
      <w:r w:rsidRPr="004B2D81">
        <w:rPr>
          <w:rFonts w:ascii="HG丸ｺﾞｼｯｸM-PRO" w:eastAsia="HG丸ｺﾞｼｯｸM-PRO" w:hAnsi="HG丸ｺﾞｼｯｸM-PRO" w:hint="eastAsia"/>
          <w:sz w:val="28"/>
          <w:szCs w:val="28"/>
        </w:rPr>
        <w:t>事業者様で作成された見積書の確認は一切いたしません。</w:t>
      </w:r>
    </w:p>
    <w:p w:rsidR="0033309D" w:rsidRPr="0033309D" w:rsidRDefault="0033309D" w:rsidP="004B2D81">
      <w:pPr>
        <w:ind w:leftChars="100" w:left="210"/>
        <w:rPr>
          <w:rFonts w:ascii="HG丸ｺﾞｼｯｸM-PRO" w:eastAsia="HG丸ｺﾞｼｯｸM-PRO" w:hAnsi="HG丸ｺﾞｼｯｸM-PRO"/>
          <w:sz w:val="28"/>
          <w:szCs w:val="28"/>
        </w:rPr>
      </w:pPr>
      <w:r w:rsidRPr="0033309D">
        <w:rPr>
          <w:rFonts w:ascii="HG丸ｺﾞｼｯｸM-PRO" w:eastAsia="HG丸ｺﾞｼｯｸM-PRO" w:hAnsi="HG丸ｺﾞｼｯｸM-PRO" w:hint="eastAsia"/>
          <w:sz w:val="28"/>
          <w:szCs w:val="28"/>
        </w:rPr>
        <w:t>（ただし、事業者様へ見積りを依頼した場合は除きます）</w:t>
      </w:r>
    </w:p>
    <w:p w:rsidR="0033309D" w:rsidRPr="0033309D" w:rsidRDefault="0033309D" w:rsidP="0033309D">
      <w:pPr>
        <w:ind w:leftChars="200" w:left="420"/>
        <w:rPr>
          <w:rFonts w:ascii="HG丸ｺﾞｼｯｸM-PRO" w:eastAsia="HG丸ｺﾞｼｯｸM-PRO" w:hAnsi="HG丸ｺﾞｼｯｸM-PRO"/>
          <w:sz w:val="28"/>
          <w:szCs w:val="28"/>
        </w:rPr>
      </w:pPr>
    </w:p>
    <w:p w:rsidR="0033309D" w:rsidRDefault="0033309D" w:rsidP="004B2D81">
      <w:pPr>
        <w:ind w:leftChars="1822" w:left="3826"/>
        <w:jc w:val="left"/>
        <w:rPr>
          <w:rFonts w:ascii="HG丸ｺﾞｼｯｸM-PRO" w:eastAsia="HG丸ｺﾞｼｯｸM-PRO" w:hAnsi="HG丸ｺﾞｼｯｸM-PRO"/>
          <w:sz w:val="28"/>
          <w:szCs w:val="28"/>
        </w:rPr>
      </w:pPr>
      <w:r w:rsidRPr="0033309D">
        <w:rPr>
          <w:rFonts w:ascii="HG丸ｺﾞｼｯｸM-PRO" w:eastAsia="HG丸ｺﾞｼｯｸM-PRO" w:hAnsi="HG丸ｺﾞｼｯｸM-PRO" w:hint="eastAsia"/>
          <w:sz w:val="28"/>
          <w:szCs w:val="28"/>
        </w:rPr>
        <w:t>平成27年4月1日</w:t>
      </w:r>
    </w:p>
    <w:p w:rsidR="004B2D81" w:rsidRPr="0033309D" w:rsidRDefault="004B2D81" w:rsidP="004B2D81">
      <w:pPr>
        <w:ind w:leftChars="1822" w:left="3826"/>
        <w:jc w:val="left"/>
        <w:rPr>
          <w:rFonts w:ascii="HG丸ｺﾞｼｯｸM-PRO" w:eastAsia="HG丸ｺﾞｼｯｸM-PRO" w:hAnsi="HG丸ｺﾞｼｯｸM-PRO"/>
          <w:sz w:val="28"/>
          <w:szCs w:val="28"/>
        </w:rPr>
      </w:pPr>
    </w:p>
    <w:p w:rsidR="00B65CF8" w:rsidRDefault="0033309D" w:rsidP="00490B17">
      <w:pPr>
        <w:ind w:leftChars="2095" w:left="4399"/>
        <w:jc w:val="left"/>
        <w:rPr>
          <w:rFonts w:ascii="HG丸ｺﾞｼｯｸM-PRO" w:eastAsia="HG丸ｺﾞｼｯｸM-PRO" w:hAnsi="HG丸ｺﾞｼｯｸM-PRO"/>
          <w:kern w:val="0"/>
          <w:sz w:val="28"/>
          <w:szCs w:val="28"/>
        </w:rPr>
      </w:pPr>
      <w:r w:rsidRPr="0033309D">
        <w:rPr>
          <w:rFonts w:ascii="HG丸ｺﾞｼｯｸM-PRO" w:eastAsia="HG丸ｺﾞｼｯｸM-PRO" w:hAnsi="HG丸ｺﾞｼｯｸM-PRO" w:hint="eastAsia"/>
          <w:sz w:val="28"/>
          <w:szCs w:val="28"/>
        </w:rPr>
        <w:t xml:space="preserve">雲南市長　</w:t>
      </w:r>
      <w:r w:rsidRPr="004B2D81">
        <w:rPr>
          <w:rFonts w:ascii="HG丸ｺﾞｼｯｸM-PRO" w:eastAsia="HG丸ｺﾞｼｯｸM-PRO" w:hAnsi="HG丸ｺﾞｼｯｸM-PRO" w:hint="eastAsia"/>
          <w:spacing w:val="140"/>
          <w:kern w:val="0"/>
          <w:sz w:val="28"/>
          <w:szCs w:val="28"/>
          <w:fitText w:val="1960" w:id="867875072"/>
        </w:rPr>
        <w:t>速水雄</w:t>
      </w:r>
      <w:r w:rsidRPr="004B2D81">
        <w:rPr>
          <w:rFonts w:ascii="HG丸ｺﾞｼｯｸM-PRO" w:eastAsia="HG丸ｺﾞｼｯｸM-PRO" w:hAnsi="HG丸ｺﾞｼｯｸM-PRO" w:hint="eastAsia"/>
          <w:kern w:val="0"/>
          <w:sz w:val="28"/>
          <w:szCs w:val="28"/>
          <w:fitText w:val="1960" w:id="867875072"/>
        </w:rPr>
        <w:t>一</w:t>
      </w:r>
    </w:p>
    <w:p w:rsidR="004B2D81" w:rsidRDefault="004B2D81" w:rsidP="004B2D81"/>
    <w:p w:rsidR="00490B17" w:rsidRDefault="00490B17" w:rsidP="004B2D81"/>
    <w:p w:rsidR="004B2D81" w:rsidRPr="00490B17" w:rsidRDefault="004B2D81" w:rsidP="004B2D81">
      <w:pPr>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w:t>
      </w:r>
      <w:r w:rsidRPr="00490B17">
        <w:rPr>
          <w:rFonts w:ascii="HG丸ｺﾞｼｯｸM-PRO" w:eastAsia="HG丸ｺﾞｼｯｸM-PRO" w:hAnsi="HG丸ｺﾞｼｯｸM-PRO" w:hint="eastAsia"/>
          <w:b/>
          <w:szCs w:val="21"/>
        </w:rPr>
        <w:t>入札談合等関与行為に該当する行為</w:t>
      </w:r>
      <w:r w:rsidRPr="00490B17">
        <w:rPr>
          <w:rFonts w:ascii="HG丸ｺﾞｼｯｸM-PRO" w:eastAsia="HG丸ｺﾞｼｯｸM-PRO" w:hAnsi="HG丸ｺﾞｼｯｸM-PRO" w:hint="eastAsia"/>
          <w:szCs w:val="21"/>
        </w:rPr>
        <w:t>（法第2条第5項）</w:t>
      </w:r>
    </w:p>
    <w:tbl>
      <w:tblPr>
        <w:tblStyle w:val="a3"/>
        <w:tblW w:w="0" w:type="auto"/>
        <w:tblLook w:val="04A0" w:firstRow="1" w:lastRow="0" w:firstColumn="1" w:lastColumn="0" w:noHBand="0" w:noVBand="1"/>
      </w:tblPr>
      <w:tblGrid>
        <w:gridCol w:w="8494"/>
      </w:tblGrid>
      <w:tr w:rsidR="004B2D81" w:rsidRPr="00490B17" w:rsidTr="0053684F">
        <w:tc>
          <w:tcPr>
            <w:tcW w:w="8494" w:type="dxa"/>
          </w:tcPr>
          <w:p w:rsidR="004B2D81" w:rsidRPr="00490B17" w:rsidRDefault="004B2D81" w:rsidP="0053684F">
            <w:pPr>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 xml:space="preserve">この法律において「入札談合等関与行為」とは、国若しくは地方公共団体の職員又は特定法人の役員若しくは職員（以下「職員」という。）が入札談合等に関与する行為であって、次の各号のいずれかに該当するものをいう。 </w:t>
            </w:r>
          </w:p>
          <w:p w:rsidR="004B2D81" w:rsidRPr="00490B17" w:rsidRDefault="004B2D81" w:rsidP="0053684F">
            <w:pPr>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 xml:space="preserve">一 事業者又は事業者団体に入札談合等を行わせること。 </w:t>
            </w:r>
          </w:p>
          <w:p w:rsidR="004B2D81" w:rsidRPr="00490B17" w:rsidRDefault="004B2D81" w:rsidP="0053684F">
            <w:pPr>
              <w:ind w:left="283" w:hangingChars="135" w:hanging="283"/>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 xml:space="preserve">二 契約の相手方となるべき者をあらかじめ指名することその他特定の者を契約の相手方となるべき者として希望する旨の意向をあらかじめ教示し、又は示唆すること。 </w:t>
            </w:r>
          </w:p>
          <w:p w:rsidR="004B2D81" w:rsidRPr="00490B17" w:rsidRDefault="004B2D81" w:rsidP="0053684F">
            <w:pPr>
              <w:ind w:left="283" w:hangingChars="135" w:hanging="283"/>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三 入札又は契約に関する情報のうち特定の事業者又は事業者団体が知ることによりこれらの者が入札談合等を行うことが容易となる情報であって</w:t>
            </w:r>
            <w:r w:rsidRPr="00490B17">
              <w:rPr>
                <w:rFonts w:ascii="HG丸ｺﾞｼｯｸM-PRO" w:eastAsia="HG丸ｺﾞｼｯｸM-PRO" w:hAnsi="HG丸ｺﾞｼｯｸM-PRO" w:hint="eastAsia"/>
                <w:b/>
                <w:szCs w:val="21"/>
                <w:u w:val="wave"/>
              </w:rPr>
              <w:t>秘密として管理されているものを、特定の者に対して教示</w:t>
            </w:r>
            <w:r w:rsidRPr="00490B17">
              <w:rPr>
                <w:rFonts w:ascii="HG丸ｺﾞｼｯｸM-PRO" w:eastAsia="HG丸ｺﾞｼｯｸM-PRO" w:hAnsi="HG丸ｺﾞｼｯｸM-PRO" w:hint="eastAsia"/>
                <w:szCs w:val="21"/>
              </w:rPr>
              <w:t>し、又は示唆すること。</w:t>
            </w:r>
          </w:p>
          <w:p w:rsidR="004B2D81" w:rsidRPr="00490B17" w:rsidRDefault="004B2D81" w:rsidP="00490B17">
            <w:pPr>
              <w:ind w:left="283" w:hangingChars="135" w:hanging="283"/>
              <w:rPr>
                <w:rFonts w:ascii="HG丸ｺﾞｼｯｸM-PRO" w:eastAsia="HG丸ｺﾞｼｯｸM-PRO" w:hAnsi="HG丸ｺﾞｼｯｸM-PRO"/>
                <w:szCs w:val="21"/>
              </w:rPr>
            </w:pPr>
            <w:r w:rsidRPr="00490B17">
              <w:rPr>
                <w:rFonts w:ascii="HG丸ｺﾞｼｯｸM-PRO" w:eastAsia="HG丸ｺﾞｼｯｸM-PRO" w:hAnsi="HG丸ｺﾞｼｯｸM-PRO" w:hint="eastAsia"/>
                <w:szCs w:val="21"/>
              </w:rPr>
              <w:t>四 特定の入札談合等に関し、事業者、事業者団体その他の者の明示若しくは黙示の依頼を受け、又はこれらの者に自ら働きかけ、かつ、当該入札談合等を容易にする目的で、職務に反し、入札に参加する者として特定の者を指名し、又はその他の方法により、入札談合等を幇助すること。</w:t>
            </w:r>
          </w:p>
        </w:tc>
      </w:tr>
    </w:tbl>
    <w:p w:rsidR="00490B17" w:rsidRPr="00490B17" w:rsidRDefault="00490B17" w:rsidP="004B2D81">
      <w:pPr>
        <w:jc w:val="left"/>
        <w:rPr>
          <w:szCs w:val="21"/>
        </w:rPr>
      </w:pPr>
    </w:p>
    <w:sectPr w:rsidR="00490B17" w:rsidRPr="00490B17" w:rsidSect="00490B17">
      <w:pgSz w:w="11906" w:h="16838" w:code="9"/>
      <w:pgMar w:top="1361" w:right="1701" w:bottom="1134" w:left="1701" w:header="851" w:footer="992" w:gutter="0"/>
      <w:cols w:space="425"/>
      <w:docGrid w:type="lines" w:linePitch="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6542C"/>
    <w:multiLevelType w:val="hybridMultilevel"/>
    <w:tmpl w:val="7250D4DA"/>
    <w:lvl w:ilvl="0" w:tplc="E3BE730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9CF43CB"/>
    <w:multiLevelType w:val="hybridMultilevel"/>
    <w:tmpl w:val="F1B8A966"/>
    <w:lvl w:ilvl="0" w:tplc="E3BE730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D1E6FB0"/>
    <w:multiLevelType w:val="hybridMultilevel"/>
    <w:tmpl w:val="05AC0F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spelling="clean" w:grammar="clean"/>
  <w:defaultTabStop w:val="840"/>
  <w:drawingGridVerticalSpacing w:val="36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09D"/>
    <w:rsid w:val="0033309D"/>
    <w:rsid w:val="00490B17"/>
    <w:rsid w:val="004B2D81"/>
    <w:rsid w:val="00A62EA9"/>
    <w:rsid w:val="00B65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43F6AA0-0780-408B-B3B9-7184BCEA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0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2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D81"/>
    <w:pPr>
      <w:ind w:leftChars="400" w:left="840"/>
    </w:pPr>
  </w:style>
  <w:style w:type="paragraph" w:styleId="a5">
    <w:name w:val="Date"/>
    <w:basedOn w:val="a"/>
    <w:next w:val="a"/>
    <w:link w:val="a6"/>
    <w:uiPriority w:val="99"/>
    <w:semiHidden/>
    <w:unhideWhenUsed/>
    <w:rsid w:val="004B2D81"/>
  </w:style>
  <w:style w:type="character" w:customStyle="1" w:styleId="a6">
    <w:name w:val="日付 (文字)"/>
    <w:basedOn w:val="a0"/>
    <w:link w:val="a5"/>
    <w:uiPriority w:val="99"/>
    <w:semiHidden/>
    <w:rsid w:val="004B2D81"/>
  </w:style>
  <w:style w:type="paragraph" w:styleId="a7">
    <w:name w:val="Balloon Text"/>
    <w:basedOn w:val="a"/>
    <w:link w:val="a8"/>
    <w:uiPriority w:val="99"/>
    <w:semiHidden/>
    <w:unhideWhenUsed/>
    <w:rsid w:val="00490B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情報系クライアント0058</dc:creator>
  <cp:keywords/>
  <dc:description/>
  <cp:lastModifiedBy>情報系クライアント0065</cp:lastModifiedBy>
  <cp:revision>2</cp:revision>
  <cp:lastPrinted>2015-03-23T02:08:00Z</cp:lastPrinted>
  <dcterms:created xsi:type="dcterms:W3CDTF">2015-03-23T01:17:00Z</dcterms:created>
  <dcterms:modified xsi:type="dcterms:W3CDTF">2015-03-25T09:53:00Z</dcterms:modified>
</cp:coreProperties>
</file>